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64" w:rsidRPr="00840564" w:rsidRDefault="00840564" w:rsidP="0084056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</w:pPr>
      <w:r w:rsidRPr="00840564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>Перечень и порядок выполнения мероприятий, необходимых для осуществления технологического присоединения к электрическим сетям для физических лиц</w:t>
      </w:r>
    </w:p>
    <w:p w:rsidR="00840564" w:rsidRPr="00840564" w:rsidRDefault="00017B04" w:rsidP="00017B04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proofErr w:type="gramStart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Технологическое присоединение </w:t>
      </w:r>
      <w:proofErr w:type="spellStart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 потребителей электрической энергии, объектов по производству электрической энергии, сетевых организаций к электрическим сетям осуществляется согласно Федеральному закону "Об электроэнергетике" (№ 35-ФЗ от 26.03.2003г.) в порядке, определенном «Правилами технологического присоединения </w:t>
      </w:r>
      <w:proofErr w:type="spellStart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электросетевого</w:t>
      </w:r>
      <w:proofErr w:type="spellEnd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хозяйства, принадлежащих сетевым организациям и иным лицам, к электрическим сетям», утвержденными Постановлением Правительства</w:t>
      </w:r>
      <w:proofErr w:type="gramEnd"/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27 декабря 2004 г. N 861 (далее Правила).</w:t>
      </w:r>
    </w:p>
    <w:p w:rsidR="00840564" w:rsidRPr="00840564" w:rsidRDefault="00017B04" w:rsidP="00017B04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="00840564" w:rsidRPr="008405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Технологическое присоединение осуществляется на основании договора, заключаемого между сетевой организацией и заявителем (физическим, юридическим лицом, индивидуальным предпринимателем). Срок технологического присоединения в договоре устанавливается в соответствии с Правилами.</w:t>
      </w:r>
    </w:p>
    <w:p w:rsidR="00840564" w:rsidRPr="00840564" w:rsidRDefault="00840564" w:rsidP="0084056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05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Мероприятия по технологическому присоединению включают в себя </w:t>
      </w:r>
      <w:r w:rsidR="00017B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hyperlink r:id="rId5" w:history="1">
        <w:r w:rsidR="00017B04" w:rsidRPr="00017B04">
          <w:rPr>
            <w:rStyle w:val="a3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 xml:space="preserve"> (Пункт 18 Правил)</w:t>
        </w:r>
      </w:hyperlink>
      <w:r w:rsidRPr="008405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а)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смежными сетевыми организациями;</w:t>
      </w:r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Постановлений Правительства РФ от 21.04.2009 </w:t>
      </w:r>
      <w:hyperlink r:id="rId6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334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24.09.2010 </w:t>
      </w:r>
      <w:hyperlink r:id="rId7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759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в)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</w:t>
      </w:r>
      <w:hyperlink r:id="rId8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Постановления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21.04.2009 N 334)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017B04">
        <w:rPr>
          <w:rFonts w:ascii="Arial" w:hAnsi="Arial" w:cs="Arial"/>
          <w:bCs/>
          <w:sz w:val="21"/>
          <w:szCs w:val="21"/>
        </w:rPr>
        <w:t xml:space="preserve">г) выполнение заявителем и сетевой организацией технических условий, включая осуществление сетевой организацией мероприятий по подключению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(объектов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микрогенерации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) под действие устройств сетевой, противоаварийной и режимной автоматики, а также выполнение заявителем и сетевой организацией требований по созданию (модернизации) комплексов и устройств релейной защиты и автоматики в порядке, предусмотренном </w:t>
      </w:r>
      <w:hyperlink r:id="rId9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Правилами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технологического функционирования электроэнергетических систем, утвержденными постановлением Правительства Российской Федерации от 13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 xml:space="preserve">августа 2018 г. N 937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 (далее - Правила технологического функционирования электроэнергетических систем) (за исключением заявителей, указанных в </w:t>
      </w:r>
      <w:hyperlink r:id="rId10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пунктах 12(1)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и </w:t>
      </w:r>
      <w:hyperlink r:id="rId11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Правил, кроме случаев, если технологическое присоединение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lastRenderedPageBreak/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(объектов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микрогенерации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) таких заявителей осуществляется на уровне напряжения выше 0,4 кВ);</w:t>
      </w:r>
      <w:proofErr w:type="gramEnd"/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/>
          <w:bCs/>
          <w:sz w:val="21"/>
          <w:szCs w:val="21"/>
        </w:rPr>
        <w:t>(</w:t>
      </w:r>
      <w:r w:rsidRPr="00017B04">
        <w:rPr>
          <w:rFonts w:ascii="Arial" w:hAnsi="Arial" w:cs="Arial"/>
          <w:bCs/>
          <w:sz w:val="21"/>
          <w:szCs w:val="21"/>
        </w:rPr>
        <w:t xml:space="preserve">в ред. Постановлений Правительства РФ от 13.08.2018 </w:t>
      </w:r>
      <w:hyperlink r:id="rId12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937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10.03.2020 </w:t>
      </w:r>
      <w:hyperlink r:id="rId13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262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02.03.2021 </w:t>
      </w:r>
      <w:hyperlink r:id="rId14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299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) проверку выполнения заявителем (за исключением заявителей, указанных в </w:t>
      </w:r>
      <w:hyperlink r:id="rId15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пунктах 12(1)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</w:t>
      </w:r>
      <w:hyperlink r:id="rId16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13(2)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- </w:t>
      </w:r>
      <w:hyperlink r:id="rId17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13(5)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и </w:t>
      </w:r>
      <w:hyperlink r:id="rId18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Правил, кроме случаев, если технологическое присоединение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таких заявителей осуществляется на уровне напряжения выше 0,4 кВ) и сетевой организацией технических условий в соответствии с </w:t>
      </w:r>
      <w:hyperlink r:id="rId19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разделом IX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Правил;</w:t>
      </w:r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Постановлений Правительства РФ от 07.05.2017 </w:t>
      </w:r>
      <w:hyperlink r:id="rId20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542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10.03.2020 </w:t>
      </w:r>
      <w:hyperlink r:id="rId21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262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02.03.2021 </w:t>
      </w:r>
      <w:hyperlink r:id="rId22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299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proofErr w:type="gram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(1)) выполнение мероприятий по вводу объектов электроэнергетики заявителя, сетевой организации и иных лиц, построенных (реконструированных, модернизированных) в рамках выполнения мероприятий по технологическому присоединению,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 </w:t>
      </w:r>
      <w:hyperlink r:id="rId23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Правилами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технологического функционирования электроэнергетических систем;</w:t>
      </w:r>
      <w:proofErr w:type="gramEnd"/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пп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. "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(1)"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>введен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hyperlink r:id="rId24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Постановлением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13.08.2018 N 937)</w:t>
      </w:r>
    </w:p>
    <w:p w:rsidR="00017B04" w:rsidRPr="00017B04" w:rsidRDefault="00017B04" w:rsidP="00017B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proofErr w:type="gram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(2)) выполнение мероприятий по обеспечению возможности вывода из эксплуатации объекта по производству электрической энергии (мощности) заявителя, присоединенного к электрическим сетям этой сетевой организации, в случае технологического присоединения вновь сооружаемого (реконструируемого) объекта по производству электрической энергии (мощности) заявителя к электрическим сетям той же сетевой организации в целях замещения им такого объекта по производству электрической энергии (мощности);</w:t>
      </w:r>
      <w:proofErr w:type="gramEnd"/>
    </w:p>
    <w:p w:rsidR="00017B04" w:rsidRPr="00017B04" w:rsidRDefault="00017B04" w:rsidP="00017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пп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. "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(2)"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>введен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hyperlink r:id="rId25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Постановлением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30.01.2021 N 86)</w:t>
      </w:r>
    </w:p>
    <w:p w:rsidR="00017B04" w:rsidRDefault="00017B04" w:rsidP="0084056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0564" w:rsidRPr="00017B04" w:rsidRDefault="00840564" w:rsidP="0084056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По окончании осуществления мероприятий по технологическому присоединению стороны составляют: </w:t>
      </w: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840564" w:rsidRPr="00017B04" w:rsidRDefault="00840564" w:rsidP="008405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акт об осуществлении технологического присоединения; </w:t>
      </w:r>
    </w:p>
    <w:p w:rsidR="00840564" w:rsidRPr="00017B04" w:rsidRDefault="00840564" w:rsidP="00840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акт согласования технологической и (или) аварийной брони в соответствии с Правил технологического присоединения (Постановление Правительства РФ от 28.12.2004 №861) </w:t>
      </w:r>
    </w:p>
    <w:p w:rsidR="000361DC" w:rsidRPr="00017B04" w:rsidRDefault="000361DC">
      <w:pPr>
        <w:rPr>
          <w:sz w:val="21"/>
          <w:szCs w:val="21"/>
        </w:rPr>
      </w:pPr>
    </w:p>
    <w:sectPr w:rsidR="000361DC" w:rsidRPr="00017B04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A8"/>
    <w:multiLevelType w:val="multilevel"/>
    <w:tmpl w:val="283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3607A4"/>
    <w:multiLevelType w:val="multilevel"/>
    <w:tmpl w:val="B86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64"/>
    <w:rsid w:val="00017B04"/>
    <w:rsid w:val="000361DC"/>
    <w:rsid w:val="0006309E"/>
    <w:rsid w:val="00840564"/>
    <w:rsid w:val="00C513E0"/>
    <w:rsid w:val="00F9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paragraph" w:styleId="1">
    <w:name w:val="heading 1"/>
    <w:basedOn w:val="a"/>
    <w:link w:val="10"/>
    <w:uiPriority w:val="9"/>
    <w:qFormat/>
    <w:rsid w:val="00840564"/>
    <w:pPr>
      <w:spacing w:after="45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564"/>
    <w:rPr>
      <w:rFonts w:ascii="Arial" w:eastAsia="Times New Roman" w:hAnsi="Arial" w:cs="Arial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unhideWhenUsed/>
    <w:rsid w:val="00840564"/>
    <w:rPr>
      <w:color w:val="182D88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4056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5455A731DBF6E23CE64FA3C49A0215496E9ADAEC53A59B6D35B11BD0578DEC2568AA16D030FA26D5C776D84BCDA31E61F108432794BF5E1zDN" TargetMode="External"/><Relationship Id="rId13" Type="http://schemas.openxmlformats.org/officeDocument/2006/relationships/hyperlink" Target="consultantplus://offline/ref=8BE5455A731DBF6E23CE64FA3C49A0215691EEACABC73A59B6D35B11BD0578DEC2568AA16D030EA36C5C776D84BCDA31E61F108432794BF5E1zDN" TargetMode="External"/><Relationship Id="rId18" Type="http://schemas.openxmlformats.org/officeDocument/2006/relationships/hyperlink" Target="consultantplus://offline/ref=8BE5455A731DBF6E23CE64FA3C49A0215195ECA0A4CC3A59B6D35B11BD0578DEC2568AA16D020EA96A5C776D84BCDA31E61F108432794BF5E1zD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E5455A731DBF6E23CE64FA3C49A0215691EEACABC73A59B6D35B11BD0578DEC2568AA16D030EA36D5C776D84BCDA31E61F108432794BF5E1zDN" TargetMode="External"/><Relationship Id="rId7" Type="http://schemas.openxmlformats.org/officeDocument/2006/relationships/hyperlink" Target="consultantplus://offline/ref=8BE5455A731DBF6E23CE64FA3C49A0215691EEADABC03A59B6D35B11BD0578DEC2568AA16D030EA56E5C776D84BCDA31E61F108432794BF5E1zDN" TargetMode="External"/><Relationship Id="rId12" Type="http://schemas.openxmlformats.org/officeDocument/2006/relationships/hyperlink" Target="consultantplus://offline/ref=8BE5455A731DBF6E23CE64FA3C49A0215692ECACABC53A59B6D35B11BD0578DEC2568AA16D020EA2685C776D84BCDA31E61F108432794BF5E1zDN" TargetMode="External"/><Relationship Id="rId17" Type="http://schemas.openxmlformats.org/officeDocument/2006/relationships/hyperlink" Target="consultantplus://offline/ref=8BE5455A731DBF6E23CE64FA3C49A0215195ECA0A4CC3A59B6D35B11BD0578DEC2568AA2680A06AA3E066769CDE8DF2EEE020E852C79E4z9N" TargetMode="External"/><Relationship Id="rId25" Type="http://schemas.openxmlformats.org/officeDocument/2006/relationships/hyperlink" Target="consultantplus://offline/ref=8BE5455A731DBF6E23CE64FA3C49A0215195ECA0A8C73A59B6D35B11BD0578DEC2568AA16D0309A56F5C776D84BCDA31E61F108432794BF5E1z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E5455A731DBF6E23CE64FA3C49A0215195ECA0A4CC3A59B6D35B11BD0578DEC2568AA2680407AA3E066769CDE8DF2EEE020E852C79E4z9N" TargetMode="External"/><Relationship Id="rId20" Type="http://schemas.openxmlformats.org/officeDocument/2006/relationships/hyperlink" Target="consultantplus://offline/ref=8BE5455A731DBF6E23CE64FA3C49A0215797E8AEABC63A59B6D35B11BD0578DEC2568AA16D030EA26D5C776D84BCDA31E61F108432794BF5E1zD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E5455A731DBF6E23CE64FA3C49A0215496E9ADAEC53A59B6D35B11BD0578DEC2568AA16D030FA26C5C776D84BCDA31E61F108432794BF5E1zDN" TargetMode="External"/><Relationship Id="rId11" Type="http://schemas.openxmlformats.org/officeDocument/2006/relationships/hyperlink" Target="consultantplus://offline/ref=8BE5455A731DBF6E23CE64FA3C49A0215195ECA0A4CC3A59B6D35B11BD0578DEC2568AA16D020EA96A5C776D84BCDA31E61F108432794BF5E1zDN" TargetMode="External"/><Relationship Id="rId24" Type="http://schemas.openxmlformats.org/officeDocument/2006/relationships/hyperlink" Target="consultantplus://offline/ref=8BE5455A731DBF6E23CE64FA3C49A0215692ECACABC53A59B6D35B11BD0578DEC2568AA16D020EA26E5C776D84BCDA31E61F108432794BF5E1zDN" TargetMode="External"/><Relationship Id="rId5" Type="http://schemas.openxmlformats.org/officeDocument/2006/relationships/hyperlink" Target="consultantplus://offline/ref=EBB9E606E0759FC75AF51AC8CBF3736304436B4D5C670C1B09C047C08B65B0890F4EEB92BC898F5B80E7D61F692E9029400A2EE552965E21i8xBN" TargetMode="External"/><Relationship Id="rId15" Type="http://schemas.openxmlformats.org/officeDocument/2006/relationships/hyperlink" Target="consultantplus://offline/ref=8BE5455A731DBF6E23CE64FA3C49A0215195ECA0A4CC3A59B6D35B11BD0578DEC2568AA16D020DA16E5C776D84BCDA31E61F108432794BF5E1zDN" TargetMode="External"/><Relationship Id="rId23" Type="http://schemas.openxmlformats.org/officeDocument/2006/relationships/hyperlink" Target="consultantplus://offline/ref=8BE5455A731DBF6E23CE64FA3C49A0215692ECACABC53A59B6D35B11BD0578DEC2568AA16D030EA4685C776D84BCDA31E61F108432794BF5E1zDN" TargetMode="External"/><Relationship Id="rId10" Type="http://schemas.openxmlformats.org/officeDocument/2006/relationships/hyperlink" Target="consultantplus://offline/ref=8BE5455A731DBF6E23CE64FA3C49A0215195ECA0A4CC3A59B6D35B11BD0578DEC2568AA16D020DA16E5C776D84BCDA31E61F108432794BF5E1zDN" TargetMode="External"/><Relationship Id="rId19" Type="http://schemas.openxmlformats.org/officeDocument/2006/relationships/hyperlink" Target="consultantplus://offline/ref=8BE5455A731DBF6E23CE64FA3C49A0215195ECA0A4CC3A59B6D35B11BD0578DEC2568AA86D0405F53B137631C1E1C930ED1F12872EE7z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5455A731DBF6E23CE64FA3C49A0215692ECACABC53A59B6D35B11BD0578DEC2568AA16D030EA4685C776D84BCDA31E61F108432794BF5E1zDN" TargetMode="External"/><Relationship Id="rId14" Type="http://schemas.openxmlformats.org/officeDocument/2006/relationships/hyperlink" Target="consultantplus://offline/ref=8BE5455A731DBF6E23CE64FA3C49A0215692E1ADAFC03A59B6D35B11BD0578DEC2568AA16D030FA0695C776D84BCDA31E61F108432794BF5E1zDN" TargetMode="External"/><Relationship Id="rId22" Type="http://schemas.openxmlformats.org/officeDocument/2006/relationships/hyperlink" Target="consultantplus://offline/ref=8BE5455A731DBF6E23CE64FA3C49A0215692E1ADAFC03A59B6D35B11BD0578DEC2568AA16D030FA06E5C776D84BCDA31E61F108432794BF5E1zD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7457</Characters>
  <Application>Microsoft Office Word</Application>
  <DocSecurity>0</DocSecurity>
  <Lines>62</Lines>
  <Paragraphs>17</Paragraphs>
  <ScaleCrop>false</ScaleCrop>
  <Company>JSC Tyazhmash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5</cp:revision>
  <dcterms:created xsi:type="dcterms:W3CDTF">2021-03-22T06:28:00Z</dcterms:created>
  <dcterms:modified xsi:type="dcterms:W3CDTF">2022-03-18T13:52:00Z</dcterms:modified>
</cp:coreProperties>
</file>