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0A" w:rsidRDefault="005F7B0A" w:rsidP="005F7B0A">
      <w:pPr>
        <w:pStyle w:val="1"/>
        <w:shd w:val="clear" w:color="auto" w:fill="FFFFFF"/>
        <w:rPr>
          <w:color w:val="182D88"/>
        </w:rPr>
      </w:pPr>
      <w:r>
        <w:rPr>
          <w:b/>
          <w:bCs/>
          <w:color w:val="182D88"/>
        </w:rPr>
        <w:t>Информация об основных этапах обработки заявок юридических и физических лиц и индивидуальных предпринимателей на технологическое присоединение</w:t>
      </w:r>
    </w:p>
    <w:p w:rsidR="005F7B0A" w:rsidRPr="005F7B0A" w:rsidRDefault="005F7B0A" w:rsidP="005F7B0A">
      <w:pPr>
        <w:pStyle w:val="a4"/>
        <w:shd w:val="clear" w:color="auto" w:fill="FFFFFF"/>
        <w:rPr>
          <w:rFonts w:ascii="Arial" w:hAnsi="Arial" w:cs="Arial"/>
          <w:sz w:val="21"/>
          <w:szCs w:val="21"/>
        </w:rPr>
      </w:pPr>
      <w:r w:rsidRPr="005F7B0A">
        <w:rPr>
          <w:rFonts w:ascii="Arial" w:hAnsi="Arial" w:cs="Arial"/>
          <w:sz w:val="21"/>
          <w:szCs w:val="21"/>
        </w:rPr>
        <w:t>При очном приеме заявки на площадке ЦОП и пунктов по работе с потребителями (далее ПРП) и заочном обращении через Личный кабинет потребителя, первичная и основная обработка заявки на технологическое присоединение осуществляется специалистами подразделения по взаимодействию с потребителями.</w:t>
      </w:r>
    </w:p>
    <w:p w:rsidR="005F7B0A" w:rsidRPr="005F7B0A" w:rsidRDefault="005F7B0A" w:rsidP="005F7B0A">
      <w:pPr>
        <w:pStyle w:val="a4"/>
        <w:shd w:val="clear" w:color="auto" w:fill="FFFFFF"/>
        <w:rPr>
          <w:rFonts w:ascii="Arial" w:hAnsi="Arial" w:cs="Arial"/>
          <w:sz w:val="21"/>
          <w:szCs w:val="21"/>
        </w:rPr>
      </w:pPr>
      <w:r w:rsidRPr="005F7B0A">
        <w:rPr>
          <w:rFonts w:ascii="Arial" w:hAnsi="Arial" w:cs="Arial"/>
          <w:sz w:val="21"/>
          <w:szCs w:val="21"/>
        </w:rPr>
        <w:t>При приеме заявки через подразделение делопроизводства проверку соблюдения требований к форме, полноте сведений в заявке и наличие прилагаемых документов выполняют специалисты ответственного подразделения, установленного организационно-распорядительными документами филиала Общества.</w:t>
      </w:r>
    </w:p>
    <w:p w:rsidR="005F7B0A" w:rsidRPr="005F7B0A" w:rsidRDefault="005F7B0A" w:rsidP="005F7B0A">
      <w:pPr>
        <w:pStyle w:val="a4"/>
        <w:shd w:val="clear" w:color="auto" w:fill="FFFFFF"/>
        <w:rPr>
          <w:rFonts w:ascii="Arial" w:hAnsi="Arial" w:cs="Arial"/>
          <w:sz w:val="21"/>
          <w:szCs w:val="21"/>
        </w:rPr>
      </w:pPr>
      <w:r w:rsidRPr="005F7B0A">
        <w:rPr>
          <w:rFonts w:ascii="Arial" w:hAnsi="Arial" w:cs="Arial"/>
          <w:sz w:val="21"/>
          <w:szCs w:val="21"/>
        </w:rPr>
        <w:t xml:space="preserve">При очной форме подачи заявки на технологическое присоединение заявителю предлагается возможность предоставления доступа к Личному кабинету для получения сведений о статусе исполнения заявки на технологическое присоединение. В </w:t>
      </w:r>
      <w:proofErr w:type="gramStart"/>
      <w:r w:rsidRPr="005F7B0A">
        <w:rPr>
          <w:rFonts w:ascii="Arial" w:hAnsi="Arial" w:cs="Arial"/>
          <w:sz w:val="21"/>
          <w:szCs w:val="21"/>
        </w:rPr>
        <w:t>случае</w:t>
      </w:r>
      <w:proofErr w:type="gramEnd"/>
      <w:r w:rsidRPr="005F7B0A">
        <w:rPr>
          <w:rFonts w:ascii="Arial" w:hAnsi="Arial" w:cs="Arial"/>
          <w:sz w:val="21"/>
          <w:szCs w:val="21"/>
        </w:rPr>
        <w:t xml:space="preserve"> согласия со стороны заявителя, ему выдается Логин и пароль для входа в Личный кабинет.</w:t>
      </w:r>
    </w:p>
    <w:p w:rsidR="005F7B0A" w:rsidRPr="005F7B0A" w:rsidRDefault="005F7B0A" w:rsidP="005F7B0A">
      <w:pPr>
        <w:pStyle w:val="a4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5F7B0A">
        <w:rPr>
          <w:rFonts w:ascii="Arial" w:hAnsi="Arial" w:cs="Arial"/>
          <w:b/>
          <w:bCs/>
          <w:sz w:val="21"/>
          <w:szCs w:val="21"/>
        </w:rPr>
        <w:t>Основные этапы обработки заявки</w:t>
      </w: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4"/>
        <w:gridCol w:w="3336"/>
        <w:gridCol w:w="457"/>
        <w:gridCol w:w="2961"/>
        <w:gridCol w:w="457"/>
      </w:tblGrid>
      <w:tr w:rsidR="005F7B0A" w:rsidRPr="005F7B0A" w:rsidTr="005F7B0A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b/>
                <w:bCs/>
                <w:sz w:val="21"/>
                <w:szCs w:val="21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b/>
                <w:bCs/>
                <w:sz w:val="21"/>
                <w:szCs w:val="21"/>
              </w:rPr>
              <w:t>Процедура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b/>
                <w:bCs/>
                <w:sz w:val="21"/>
                <w:szCs w:val="21"/>
              </w:rPr>
              <w:t>Срок</w:t>
            </w:r>
          </w:p>
        </w:tc>
      </w:tr>
      <w:tr w:rsidR="005F7B0A" w:rsidRPr="005F7B0A" w:rsidTr="005F7B0A">
        <w:tc>
          <w:tcPr>
            <w:tcW w:w="0" w:type="auto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Первичная обработка обращения (заявки)</w:t>
            </w:r>
          </w:p>
        </w:tc>
        <w:tc>
          <w:tcPr>
            <w:tcW w:w="0" w:type="auto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Прием обращения с заявкой на технологическое присоединение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при очном обращении не более 30 минут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при поступлении заявки почтой передача заявки и пакета документов в профильное подразделение – не более 1 рабочего дня</w:t>
            </w:r>
          </w:p>
        </w:tc>
      </w:tr>
      <w:tr w:rsidR="005F7B0A" w:rsidRPr="005F7B0A" w:rsidTr="005F7B0A">
        <w:tc>
          <w:tcPr>
            <w:tcW w:w="0" w:type="auto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Основная обработка 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Проверка соблюдения требований к форме, полноте сведений в заявке и наличия документов, приложенных к заявке в соответствии с нормативными правовыми актами и организационно-распорядительными документами.</w:t>
            </w:r>
          </w:p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Регистрация заявки и пакета документов в АМ по направлению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1 рабочий день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получения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заявки и пакета документов при очном обращении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2 рабочих дня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регистрации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входящего письма с заявкой и пакетом документов при получении заявки почтой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Подготовка и направление уведомления заявителю о недостающих сведениях и/или документах к заявке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6 рабочих дней после получения заявки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Направление заявки и пакета документов, представленных заявителем, в профильное подразделение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2 рабочих дня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получения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заявки (в случае полного пакета документов) или после получения недостающих сведений и/или документов к заявке</w:t>
            </w:r>
          </w:p>
        </w:tc>
      </w:tr>
      <w:tr w:rsidR="005F7B0A" w:rsidRPr="005F7B0A" w:rsidTr="005F7B0A">
        <w:tc>
          <w:tcPr>
            <w:tcW w:w="0" w:type="auto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Подготовка и направление уведомления об увеличении срока подготовки договора на срок согласования технических условий с системным оператором при сложном характере технологического присоединения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не позднее 2 рабочих дней после направления технических условий на согласование системному оператору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Подготовка и направление уведомления заявителю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о направлении заявления об установлении платы с приложенными к нему материалами в уполномоченный орган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исполнительной власти в области государственного регулирования тарифов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3 рабочих дня со дня направления заявления об установлении платы в уполномоченный орган исполнительной власти в области государственного регулирования тарифов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Подготовка и направление проекта договора об осуществлении технологического присоединения и технических условий заявителю.</w:t>
            </w:r>
          </w:p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(При технологическом присоединении по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индивидуальному проекту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заявителю так же направляется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проекту)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15 дней со дня получения заявки от заявителя (уполномоченного представителя) в случае полного пакета документов или со дня получения недостающих сведений и/или документов к заявке для физических лиц в целях технологического присоединения ЭПУ, максимальная мощность которых составляет до 15 кВт включительно (с учетом ранее присоединенных) для бытовых и иных нужд по одному источнику электроснабжения, для юридических лиц или индивидуальных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предпринимателей ЭПУ, максимальная мощность которых составляет до 150 к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Вт вкл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>ючительно (с учетом ранее присоединенных) по второй или третьей категории надежности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 течение 10 дней со дня получения заявки в случае временного технологического присоединения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30 дней со дня получения заявки (в случае полного пакета </w:t>
            </w: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документов) или со дня получения недостающих сведений и/или документов к заявке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 течение 3 рабочих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3 рабочих дня со дня согласования с системным оператором технических условий при сложном характере технологического присоединения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5 рабочих дней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получения от заявителя мотивированного отказа от подписания проекта договора с требованием о приведении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его в соответствие с Правилами технологического присоединения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Подписание договора со стороны заявителя и направление одного экземпляра в сетевую организацию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30 дней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получения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подписанного организацией проекта договора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Направление заявителем мотивированного отказа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от подписания проекта договора с требованием о приведении его в соответствие с Правилами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технологического присоединения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30 дней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получения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подписанного организацией проекта договора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Аннулирование заявки на технологическое присоединение в случае, если заявителем не направлен подписанный проект договора или мотивированный отказ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60 дней со дня получения заявителем подписанного сетевой организацией проекта договора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 xml:space="preserve">Направление копии заявки на технологическое присоединение на рассмотрение системному оператору в случае технологического присоединения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устройств, за исключением заявок, поданных физическими лицами в целях технологического присоединения ЭПУ с максимальной мощностью до 15 кВт включительно (с учетом ранее присоединенных) для бытовых и иных нужд, юридическими лицами или индивидуальными предпринимателями ЭПУ с максимальной мощностью до 150 кВт включительно (с учетом ранее присоединенных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>), и технологического присоединения посредством перераспределения.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 xml:space="preserve">5 рабочих дней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получения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заявки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 xml:space="preserve">Согласование с системным оператором технических условий на технологическое присоединение к электрическим сетям в случае технологического присоединения в отношении присоединяемых объектов по производству электрической энергии, установленная генерирующая мощность которых превышает 5 МВт или увеличивается на 5 МВт и выше, а также присоединяемых объектов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электросетевого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хозяйства, максимальная мощность которых превышает 5 МВт или увеличивается на 5 МВт и выше, и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, максимальная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мощность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которых превышает 5 МВт или увеличивается на 5 МВт и выше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15 дней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получения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проекта технических условий от сетевой организации</w:t>
            </w:r>
          </w:p>
        </w:tc>
      </w:tr>
      <w:tr w:rsidR="005F7B0A" w:rsidRPr="005F7B0A" w:rsidTr="005F7B0A"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Осуществление мероприятий по технологическому присоединению со стороны сетевой организации: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5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1.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 xml:space="preserve">В случаях, если от сетевой организации не требуется выполнение работ по строительству (реконструкции) объектов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электросетевого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хозяйства, включенных (подлежащих включению) в инвестиционные программы сетевых организаций, и (или) объектов по производству электрической энергии, за исключением работ по строительству объектов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электросетевого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хозяйства от существующих объектов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электросетевого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хозяйства </w:t>
            </w: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 xml:space="preserve">до присоединяемых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 и (или) объектов электроэнергетики [1]:</w:t>
            </w:r>
            <w:proofErr w:type="gramEnd"/>
          </w:p>
        </w:tc>
      </w:tr>
      <w:tr w:rsidR="005F7B0A" w:rsidRPr="005F7B0A" w:rsidTr="005F7B0A">
        <w:tc>
          <w:tcPr>
            <w:tcW w:w="0" w:type="auto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при временном присоединении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15 рабочих дней (если в заявке не указан более продолжительный срок)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заключения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договора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для заявителей с максимальной мощностью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 до 670 к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Вт вкл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>ючительно (с учетом ранее присоединенной в данной точке присоединения мощности)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4 месяца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заключения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договора</w:t>
            </w:r>
          </w:p>
        </w:tc>
      </w:tr>
      <w:tr w:rsidR="005F7B0A" w:rsidRPr="005F7B0A" w:rsidTr="005F7B0A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для заявителей с максимальной мощностью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ств св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>ыше 670 кВт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1 год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заключения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договора</w:t>
            </w:r>
          </w:p>
        </w:tc>
      </w:tr>
      <w:tr w:rsidR="005F7B0A" w:rsidRPr="005F7B0A" w:rsidTr="005F7B0A">
        <w:tc>
          <w:tcPr>
            <w:tcW w:w="0" w:type="auto"/>
            <w:gridSpan w:val="5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2.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 xml:space="preserve">В случаях, если от сетевой организации требуется выполнение работ по строительству (реконструкции) объектов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электросетевого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хозяйства, включенных (подлежащих включению) в инвестиционные программы сетевых организаций, и (или) объектов по производству электрической энергии, за исключением работ по строительству объектов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электросетевого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хозяйства от существующих объектов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электросетевого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хозяйства до присоединяемых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 и (или) объектов электроэнергетики:</w:t>
            </w:r>
            <w:proofErr w:type="gramEnd"/>
          </w:p>
        </w:tc>
      </w:tr>
      <w:tr w:rsidR="005F7B0A" w:rsidRPr="005F7B0A" w:rsidTr="005F7B0A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при временном технологическом присоединении заявителей,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энергопринимающие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устройства которых являются передвижными и имеют максимальную мощность до 150 к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Вт вкл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ючительно (с учетом ранее присоединенной в данной точке присоединения мощности), если расстояние от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энергопринимающего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устройства заявителя до существующих электрических сетей необходимого класса напряжения составляет не более 300 метров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15 рабочих дней (если в заявке не указан более продолжительный срок)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 даты заключения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договора</w:t>
            </w:r>
          </w:p>
        </w:tc>
      </w:tr>
      <w:tr w:rsidR="005F7B0A" w:rsidRPr="005F7B0A" w:rsidTr="005F7B0A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Для физических лиц ЭПУ с максимальной мощностью до 15 к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Вт вкл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ючительно (с учетом ранее присоединенных) для бытовых и иных нужд, юридических лиц или индивидуальных предпринимателей ЭПУ с </w:t>
            </w: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максимальной мощностью до 150 кВт включительно (с учетом ранее присоединенных), в т.ч. технологического присоединения посредством перераспределения.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6 месяцев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 xml:space="preserve"> )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с даты заключения договора</w:t>
            </w:r>
          </w:p>
        </w:tc>
      </w:tr>
      <w:tr w:rsidR="005F7B0A" w:rsidRPr="005F7B0A" w:rsidTr="005F7B0A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для заявителей, суммарная максимальная мощность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 которых не превышает 670 кВт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1 год, если более короткие сроки не предусмотрены инвестиционной программой соответствующей сетевой организации или соглашением сторон</w:t>
            </w:r>
          </w:p>
        </w:tc>
      </w:tr>
      <w:tr w:rsidR="005F7B0A" w:rsidRPr="005F7B0A" w:rsidTr="005F7B0A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для заявителей, суммарная максимальная мощность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 которых превышает 670 кВт</w:t>
            </w:r>
          </w:p>
        </w:tc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2 года, если иные сроки (но не более 4 лет) не предусмотрены соответствующей инвестиционной программой или соглашением сторон</w:t>
            </w:r>
          </w:p>
        </w:tc>
      </w:tr>
      <w:tr w:rsidR="005F7B0A" w:rsidRPr="005F7B0A" w:rsidTr="005F7B0A">
        <w:tc>
          <w:tcPr>
            <w:tcW w:w="0" w:type="auto"/>
            <w:gridSpan w:val="4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Сроки исполнения сетевой организацией фактического присоединения объектов заявителя в случаях, когда не требуется согласование технических условий с субъектом оперативно-диспетчерского контроля: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Прием от заявителя уведомления о выполнении технических условий с необходимым пакетом документов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при очном обращении не более 30 минут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при поступлении уведомления почтой передача уведомления и пакета документов в профильное подразделение – не более 1 рабочего дня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Осмотр (обследование) ЭПУ до распределительного устройства (пункта) заявителя (распределительного устройства трансформаторной подстанции, вводного устройства, вводного распределительного устройства, главного распределительного щита, узла учета) включительно</w:t>
            </w:r>
            <w:proofErr w:type="gramEnd"/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 течение 3 рабочих дней после уведомления заявителем о выполнении своих обязательств договора об осуществлении технологического присоединения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По результатам мероприятий по проверке выполнения заявителем технических условий сетевая организация составляет и направляет для подписания заявителю подписанный со своей стороны в 2 экземплярах Акт о выполнении технических условий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 3-дневный срок после проведения осмотра.</w:t>
            </w:r>
          </w:p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Общий срок проведения мероприятий по проверке не должен превышать 10 дней со дня получения уведомления от заявителя о выполнении им технических условий либо уведомления об </w:t>
            </w: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устранении замечаний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В случае присоединения ЭПУ к сетям классом напряжения до 20 кВ по одному источнику, а так же в отношении физических лиц ЭПУ с максимальной мощностью до 15 кВт включительно (с учетом ранее присоединенных) для бытовых и иных нужд, юридических лиц или индивидуальных предпринимателей ЭПУ с максимальной мощностью до 150 кВт включительно (с учетом ранее присоединенных), и временного технологического присоединения Акт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о выполнении технических условий составляется и подписывается заявителем и сетевой организацией непосредственно в день проведения осмотра.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 день проведения осмотра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 осмотра (обследования) электроустановки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Повторный осмотр электроустановки заявителя. Акт о выполнении технических условий оформляется после устранения выявленных нарушений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4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Проверка выполнения технических условий в случаях, когда требуется согласование технических условий с субъектом оперативно-диспетчерского управления, осуществляется сетевой организацией и системным оператором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Уведомление о готовности к проверке выполнения технических условий направляется заявителем в адрес сетевой организации, а сетевой организацией в отношении своих объектов - в адрес субъекта оперативно-диспетчерского управления.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 течение 2 дней со дня получения от заявителя уведомления о готовности к проверке выполнения технических условий направляет субъекту оперативно-диспетчерского управления копию такого уведомления и копии приложенных к нему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Проверка соответствия технических решений, </w:t>
            </w: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параметров оборудования (устройств) и проведенных мероприятий, указанных в документах, представленных заявителем, требованиям технических условий совместно с системным оператором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Сетевая организация в письменной форме уведомляет субъект оперативно-диспетчерского управления о предполагаемой дате проведения осмотра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не позднее, чем за 5 рабочих дней до дня его проведения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Субъект оперативно-диспетчерского управления направляет сетевой организации решение об участии (отказе от участия) в таком осмотре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не позднее, чем за 2 рабочих дня до его проведения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Осмотр сетевой организацией, а также субъектом оперативно-диспетчерского управления присоединяемых электроустановок и объектов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электросетевого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хозяйства, построенных (реконструированных) в рамках выполнения технических условий,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 день проведения осмотра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Составление Акта осмотра (обследования) электроустановки. При выявлении в ходе осмотра невыполнения заявителем и (или) сетевой организацией требований технических условий и проектной документации в акте осмотра (обследования) электроустановки указывается перечень выявленных замечаний, подлежащих выполнению.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Согласование с субъектом оперативно-диспетчерского управления Акта осмотра (обследования) электроустановки, в случае 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При невыполнении требований технических условий субъект оперативно-диспетчерского управления уведомляет об этом сетевую организацию с указанием замечаний.</w:t>
            </w:r>
          </w:p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Сетевая организация, в письменной форме уведомляет заявителя о выявленных замечаниях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Повторный осмотр.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не позднее, чем через 3 рабочих дня после получения уведомления об устранении замечаний с приложением информации и документов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Сетевая организация направляет заявителю подписанный со своей стороны Акт о выполнении технических условий в 2 экземплярах.</w:t>
            </w:r>
          </w:p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 xml:space="preserve">В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случае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>, если технические условия были согласованы с субъектом оперативно-диспетчерского контроля, Акт о выполнении технических условий, согласованный с субъектом оперативно-диспетчерского контроля, направляется заявителю в 3 экземплярах.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 xml:space="preserve">в 3-дневный срок, общий срок проверки не должен превышать 25 дней со </w:t>
            </w: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lastRenderedPageBreak/>
              <w:t>Заявитель возвращает в сетевую организацию подписанные со своей стороны экземпляры акта о выполнении технических условий, при этом один экземпляр акта о выполнении технических условий остается у заявителя.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 течение 5 дней со дня получения акта о выполнении технических условий в 3 экземплярах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Выдача акта об осуществлении технологического присоединения;</w:t>
            </w:r>
          </w:p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Акта разграничения границ балансовой принадлежности сторон;</w:t>
            </w:r>
          </w:p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Акта разграничения эксплуатационной ответственности сторон;</w:t>
            </w:r>
          </w:p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 xml:space="preserve">Акта согласования технологической и (или) аварийной </w:t>
            </w:r>
            <w:proofErr w:type="gramStart"/>
            <w:r w:rsidRPr="005F7B0A">
              <w:rPr>
                <w:rFonts w:ascii="Arial" w:hAnsi="Arial" w:cs="Arial"/>
                <w:sz w:val="21"/>
                <w:szCs w:val="21"/>
              </w:rPr>
              <w:t>брони</w:t>
            </w:r>
            <w:proofErr w:type="gramEnd"/>
            <w:r w:rsidRPr="005F7B0A">
              <w:rPr>
                <w:rFonts w:ascii="Arial" w:hAnsi="Arial" w:cs="Arial"/>
                <w:sz w:val="21"/>
                <w:szCs w:val="21"/>
              </w:rPr>
              <w:t xml:space="preserve"> а соответствии с п.14(2) «Правил технологического присоединения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энергопринимающих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 w:rsidRPr="005F7B0A">
              <w:rPr>
                <w:rFonts w:ascii="Arial" w:hAnsi="Arial" w:cs="Arial"/>
                <w:sz w:val="21"/>
                <w:szCs w:val="21"/>
              </w:rPr>
              <w:t>электросетевого</w:t>
            </w:r>
            <w:proofErr w:type="spellEnd"/>
            <w:r w:rsidRPr="005F7B0A">
              <w:rPr>
                <w:rFonts w:ascii="Arial" w:hAnsi="Arial" w:cs="Arial"/>
                <w:sz w:val="21"/>
                <w:szCs w:val="21"/>
              </w:rPr>
              <w:t xml:space="preserve"> хозяйства, принадлежащих сетевым организациям и иным лицам, к электрическим сетям», утв. ПП РФ от 27.12.2004 № 861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pStyle w:val="a4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F7B0A">
              <w:rPr>
                <w:rFonts w:ascii="Arial" w:hAnsi="Arial" w:cs="Arial"/>
                <w:sz w:val="21"/>
                <w:szCs w:val="21"/>
              </w:rPr>
              <w:t>По окончании осуществления мероприятий по технологическому присоединению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7B0A" w:rsidRPr="005F7B0A" w:rsidTr="005F7B0A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F7B0A" w:rsidRPr="005F7B0A" w:rsidRDefault="005F7B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F7B0A" w:rsidRPr="005F7B0A" w:rsidRDefault="005F7B0A" w:rsidP="005F7B0A">
      <w:pPr>
        <w:shd w:val="clear" w:color="auto" w:fill="FFFFFF"/>
        <w:spacing w:after="450" w:line="240" w:lineRule="auto"/>
        <w:outlineLvl w:val="0"/>
        <w:rPr>
          <w:rFonts w:ascii="Arial" w:hAnsi="Arial" w:cs="Arial"/>
          <w:sz w:val="21"/>
          <w:szCs w:val="21"/>
          <w:shd w:val="clear" w:color="auto" w:fill="FFFFFF"/>
        </w:rPr>
      </w:pPr>
      <w:proofErr w:type="gramStart"/>
      <w:r w:rsidRPr="005F7B0A">
        <w:rPr>
          <w:rFonts w:ascii="Arial" w:hAnsi="Arial" w:cs="Arial"/>
          <w:sz w:val="21"/>
          <w:szCs w:val="21"/>
          <w:shd w:val="clear" w:color="auto" w:fill="FFFFFF"/>
        </w:rPr>
        <w:t xml:space="preserve">[ 1] в случае технологического присоединения к электрическим сетям классом напряжения до 20 кВ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5F7B0A">
        <w:rPr>
          <w:rFonts w:ascii="Arial" w:hAnsi="Arial" w:cs="Arial"/>
          <w:sz w:val="21"/>
          <w:szCs w:val="21"/>
          <w:shd w:val="clear" w:color="auto" w:fill="FFFFFF"/>
        </w:rPr>
        <w:t>энергопринимающие</w:t>
      </w:r>
      <w:proofErr w:type="spellEnd"/>
      <w:r w:rsidRPr="005F7B0A">
        <w:rPr>
          <w:rFonts w:ascii="Arial" w:hAnsi="Arial" w:cs="Arial"/>
          <w:sz w:val="21"/>
          <w:szCs w:val="21"/>
          <w:shd w:val="clear" w:color="auto" w:fill="FFFFFF"/>
        </w:rPr>
        <w:t xml:space="preserve"> устройства, составляет не более 300 метров в городах и поселках городского типа и не более 500 метров в сельской местности.</w:t>
      </w:r>
      <w:proofErr w:type="gramEnd"/>
    </w:p>
    <w:p w:rsidR="005F7B0A" w:rsidRPr="005F7B0A" w:rsidRDefault="005F7B0A" w:rsidP="005F7B0A">
      <w:pPr>
        <w:shd w:val="clear" w:color="auto" w:fill="FFFFFF"/>
        <w:spacing w:after="450" w:line="240" w:lineRule="auto"/>
        <w:outlineLvl w:val="0"/>
        <w:rPr>
          <w:rFonts w:ascii="Arial" w:hAnsi="Arial" w:cs="Arial"/>
          <w:sz w:val="21"/>
          <w:szCs w:val="21"/>
          <w:shd w:val="clear" w:color="auto" w:fill="FFFFFF"/>
        </w:rPr>
      </w:pPr>
    </w:p>
    <w:p w:rsidR="005F7B0A" w:rsidRPr="005F7B0A" w:rsidRDefault="005F7B0A" w:rsidP="005F7B0A">
      <w:pPr>
        <w:shd w:val="clear" w:color="auto" w:fill="FFFFFF"/>
        <w:spacing w:after="450" w:line="240" w:lineRule="auto"/>
        <w:outlineLvl w:val="0"/>
        <w:rPr>
          <w:rFonts w:ascii="Arial" w:hAnsi="Arial" w:cs="Arial"/>
          <w:sz w:val="21"/>
          <w:szCs w:val="21"/>
          <w:shd w:val="clear" w:color="auto" w:fill="FFFFFF"/>
        </w:rPr>
      </w:pPr>
    </w:p>
    <w:sectPr w:rsidR="005F7B0A" w:rsidRPr="005F7B0A" w:rsidSect="0003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508C"/>
    <w:multiLevelType w:val="multilevel"/>
    <w:tmpl w:val="E368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B25"/>
    <w:rsid w:val="000361DC"/>
    <w:rsid w:val="0006309E"/>
    <w:rsid w:val="005F7B0A"/>
    <w:rsid w:val="006D43C0"/>
    <w:rsid w:val="00851DC4"/>
    <w:rsid w:val="0098467D"/>
    <w:rsid w:val="00A14B25"/>
    <w:rsid w:val="00A7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9E"/>
  </w:style>
  <w:style w:type="paragraph" w:styleId="1">
    <w:name w:val="heading 1"/>
    <w:basedOn w:val="a"/>
    <w:link w:val="10"/>
    <w:uiPriority w:val="9"/>
    <w:qFormat/>
    <w:rsid w:val="00A14B25"/>
    <w:pPr>
      <w:spacing w:after="450" w:line="240" w:lineRule="auto"/>
      <w:outlineLvl w:val="0"/>
    </w:pPr>
    <w:rPr>
      <w:rFonts w:ascii="Arial" w:eastAsia="Times New Roman" w:hAnsi="Arial" w:cs="Arial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B25"/>
    <w:rPr>
      <w:rFonts w:ascii="Arial" w:eastAsia="Times New Roman" w:hAnsi="Arial" w:cs="Arial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A14B25"/>
    <w:rPr>
      <w:color w:val="182D88"/>
      <w:u w:val="single"/>
      <w:shd w:val="clear" w:color="auto" w:fill="auto"/>
    </w:rPr>
  </w:style>
  <w:style w:type="paragraph" w:styleId="a4">
    <w:name w:val="Normal (Web)"/>
    <w:basedOn w:val="a"/>
    <w:uiPriority w:val="99"/>
    <w:unhideWhenUsed/>
    <w:rsid w:val="00A14B2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2498</Words>
  <Characters>14242</Characters>
  <Application>Microsoft Office Word</Application>
  <DocSecurity>0</DocSecurity>
  <Lines>118</Lines>
  <Paragraphs>33</Paragraphs>
  <ScaleCrop>false</ScaleCrop>
  <Company>JSC Tyazhmash</Company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</dc:creator>
  <cp:keywords/>
  <dc:description/>
  <cp:lastModifiedBy>lenai</cp:lastModifiedBy>
  <cp:revision>7</cp:revision>
  <dcterms:created xsi:type="dcterms:W3CDTF">2021-03-22T06:30:00Z</dcterms:created>
  <dcterms:modified xsi:type="dcterms:W3CDTF">2022-03-18T14:13:00Z</dcterms:modified>
</cp:coreProperties>
</file>