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auto" w:fill="FFFFFF"/>
        <w:rPr>
          <w:b/>
          <w:bCs/>
          <w:color w:val="182D88"/>
        </w:rPr>
      </w:pPr>
      <w:r>
        <w:rPr>
          <w:b/>
          <w:bCs/>
          <w:color w:val="182D88"/>
        </w:rPr>
        <w:t>19 (</w:t>
      </w:r>
      <w:r>
        <w:rPr>
          <w:b/>
          <w:bCs/>
          <w:color w:val="182D88"/>
        </w:rPr>
        <w:t>и</w:t>
      </w:r>
      <w:r>
        <w:rPr>
          <w:b/>
          <w:bCs/>
          <w:color w:val="182D88"/>
        </w:rPr>
        <w:t xml:space="preserve">) Информация </w:t>
      </w:r>
      <w:r>
        <w:rPr>
          <w:b/>
          <w:bCs/>
          <w:color w:val="182D88"/>
        </w:rPr>
        <w:t>о порядке выполнения технологических, технических и других мероприятий, связанных с технологическим присоединением к электрическим сетям.</w:t>
      </w:r>
      <w:r>
        <w:rPr>
          <w:b/>
          <w:bCs/>
          <w:color w:val="182D88"/>
        </w:rPr>
        <w:t xml:space="preserve">                         </w:t>
      </w:r>
    </w:p>
    <w:tbl>
      <w:tblPr>
        <w:tblStyle w:val="a9"/>
        <w:tblW w:w="957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04"/>
        <w:gridCol w:w="3390"/>
        <w:gridCol w:w="2533"/>
        <w:gridCol w:w="1543"/>
      </w:tblGrid>
      <w:tr>
        <w:trPr/>
        <w:tc>
          <w:tcPr>
            <w:tcW w:w="2104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kern w:val="0"/>
                <w:sz w:val="21"/>
                <w:szCs w:val="21"/>
                <w:lang w:val="ru-RU" w:bidi="ar-SA"/>
              </w:rPr>
              <w:t>Процедура</w:t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kern w:val="0"/>
                <w:sz w:val="21"/>
                <w:szCs w:val="21"/>
                <w:lang w:val="ru-RU" w:bidi="ar-SA"/>
              </w:rPr>
              <w:t>Этап</w:t>
            </w:r>
          </w:p>
        </w:tc>
        <w:tc>
          <w:tcPr>
            <w:tcW w:w="2533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kern w:val="0"/>
                <w:sz w:val="21"/>
                <w:szCs w:val="21"/>
                <w:lang w:val="ru-RU" w:bidi="ar-SA"/>
              </w:rPr>
              <w:t>Срок</w:t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b/>
                <w:sz w:val="21"/>
                <w:szCs w:val="21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Ссылка на нормативно-правовой акт</w:t>
            </w:r>
          </w:p>
        </w:tc>
      </w:tr>
      <w:tr>
        <w:trPr>
          <w:trHeight w:val="952" w:hRule="atLeast"/>
        </w:trPr>
        <w:tc>
          <w:tcPr>
            <w:tcW w:w="210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обработка обращения (заявки)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ind w:left="89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Прием  заявки  на технологическое присоединение</w:t>
            </w:r>
          </w:p>
        </w:tc>
        <w:tc>
          <w:tcPr>
            <w:tcW w:w="2533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</w:t>
            </w:r>
            <w:r>
              <w:rPr>
                <w:kern w:val="0"/>
                <w:lang w:val="ru-RU" w:bidi="ar-SA"/>
              </w:rPr>
              <w:t>в день поступления заявки</w:t>
            </w:r>
          </w:p>
        </w:tc>
        <w:tc>
          <w:tcPr>
            <w:tcW w:w="15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П.15</w:t>
            </w:r>
          </w:p>
        </w:tc>
      </w:tr>
      <w:tr>
        <w:trPr>
          <w:trHeight w:val="1050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ind w:left="89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Проверка соблюдения требований к форме, полноте сведений в заявке и наличия документов, приложенных к заявке в соответствии с нормативными правовыми актами и организационно-распорядительными документами.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Регистрация заявки и пакета документов</w:t>
            </w:r>
          </w:p>
        </w:tc>
        <w:tc>
          <w:tcPr>
            <w:tcW w:w="2533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  рабочих дня со дня получения  заявки</w:t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>
          <w:trHeight w:val="1068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ind w:left="89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Подготовка и направление уведомления заявителю о недостающих сведениях и/или документах к заявке</w:t>
            </w:r>
          </w:p>
        </w:tc>
        <w:tc>
          <w:tcPr>
            <w:tcW w:w="2533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  рабочих дня со дня получения  заявки</w:t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>
          <w:trHeight w:val="2055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ind w:left="5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Подготовка и направление уведомления об увеличении срока подготовки договора на срок согласования технических условий с системным оператором при сложном характере технологического присоединения</w:t>
            </w:r>
          </w:p>
        </w:tc>
        <w:tc>
          <w:tcPr>
            <w:tcW w:w="2533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  рабочих дня со дня получения  заявки</w:t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>
          <w:trHeight w:val="4809" w:hRule="atLeast"/>
        </w:trPr>
        <w:tc>
          <w:tcPr>
            <w:tcW w:w="210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ind w:left="51"/>
              <w:jc w:val="left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kern w:val="0"/>
                <w:lang w:val="ru-RU" w:bidi="ar-SA"/>
              </w:rPr>
              <w:t>Размещение в личном кабинете  условий типового договора на ТП, технических условий, счета для внесения платы за технологическое присоединение, инструкции, содержащей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мощности.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 дней со дня получения заявки от заявителя (уполномоченного представителя) в случае полного пакета документов или со дня получения недостающих сведений   для  юридических лиц и индивидуальных предпринимателей, максимальная мощность которых составляет до 150 кВт включительно по II и III категории надежности, а также энергопринимающих устройств физических лиц до 15 кВт по III категории надежности (с учетом ранее присоединенных в данной точке присоединения ЭПУ)</w:t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П.105</w:t>
            </w:r>
          </w:p>
        </w:tc>
      </w:tr>
      <w:tr>
        <w:trPr>
          <w:trHeight w:val="3391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3390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течении  20 рабочих дней после подачи заявки,  в случае полного пакета документов или со дня получения недостающих сведений,   для заявителей максимальной мощностью свыше 150 кВт (п. 15 Правил ТП);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случае утверждения индивидуальной платы за ТП не позднее 3 рабочих дней со дня вступления в силу решения органа исполнительной власти в области государственного регулирования тарифов (п. 30.4. Правил ТП);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случае необходимости согласования ТУ с системным оператором не позднее 3 рабочих дней со дня их согласования (п. 15 Правил ТП);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при временном ТП в течении 10 дней после подачи заявки (п. 15 Правил ТП)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рабочих дней с даты получения от заявителя мотивированного отказа от подписания проекта договора с требованием о приведении его в соответствие с Правилами технологического присоединения (п. 15 Правил ТП)</w:t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П.15; П. 30.4</w:t>
            </w:r>
          </w:p>
        </w:tc>
      </w:tr>
      <w:tr>
        <w:trPr>
          <w:trHeight w:val="1710" w:hRule="atLeast"/>
        </w:trPr>
        <w:tc>
          <w:tcPr>
            <w:tcW w:w="210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Заключение договора об осуществлении технологического присоединения к электрическим сетям со стороны Заявителя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Подписание договора со стороны заявителя и направление одного экземпляра в сетевую организацию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 дней с даты получения подписанного организацией проекта договора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15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П.15</w:t>
            </w:r>
          </w:p>
        </w:tc>
      </w:tr>
      <w:tr>
        <w:trPr>
          <w:trHeight w:val="2700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3390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Направление заявителем мотивированного отказа от подписания проекта договора с требованием о приведении его в соответствие с Правилами технологического присоединения</w:t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533" w:type="dxa"/>
            <w:tcBorders/>
            <w:vAlign w:val="center"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 дней с даты получения подписанного организацией проекта договора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>
          <w:trHeight w:val="873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3390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Аннулирование заявки на технологическое присоединение в случае, если заявителем не направлен подписанный проект договора или мотивированный отказ</w:t>
            </w:r>
          </w:p>
        </w:tc>
        <w:tc>
          <w:tcPr>
            <w:tcW w:w="2533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30 дней со дня получения заявителем подписанного сетевой организацией проекта договора</w:t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>
          <w:trHeight w:val="8505" w:hRule="atLeast"/>
        </w:trPr>
        <w:tc>
          <w:tcPr>
            <w:tcW w:w="210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Согласование технических условий с системным оператором при сложном характере технологического присоединения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Направление копии заявки на технологическое присоединение на рассмотрение системному оператору в случае технологического присоединения энергопринимающих устройств, за исключением заявок, поданных физическими лицами в целях технологического присоединения ЭПУ с максимальной мощностью до 15 кВт включительно (с учетом ранее присоединенных) для бытовых и иных нужд, юридическими лицами или индивидуальными предпринимателями ЭПУ с максимальной мощностью до 150 кВт включительно (с учетом ранее присоединенных), и технологического присоединения посредством перераспределения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>.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 рабочих дней с даты получения заявки</w:t>
            </w:r>
          </w:p>
        </w:tc>
        <w:tc>
          <w:tcPr>
            <w:tcW w:w="15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П.15, П.21</w:t>
            </w:r>
          </w:p>
        </w:tc>
      </w:tr>
      <w:tr>
        <w:trPr>
          <w:trHeight w:val="1691" w:hRule="atLeast"/>
        </w:trPr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Согласование с системным оператором технических условий на технологическое присоединение к электрическим сетям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 дней с даты получения проекта технических условий от сетевой организации</w:t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/>
        <w:tc>
          <w:tcPr>
            <w:tcW w:w="2104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center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Осуществление мероприятий по технологическому присоединению со стороны сетевой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организации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случае осуществления технологического присоединения к электрическим сетям классом напряжения до 20 кВ включительно, при этом расстояние от 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 рабочих дней (если в заявке не указан более продолжительный срок) для осуществления мероприятий по технологическому присоединению, отнесенных к обязанностям сетевой организации, - при временном технологическом присоединении;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 месяца - для заявителей (в том числе указанных в </w:t>
            </w:r>
            <w:hyperlink r:id="rId2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пунктах 13(3)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3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13(5)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 </w:t>
            </w:r>
            <w:hyperlink r:id="rId4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13(6)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настоящих Правил), максимальная мощность энергопринимающих устройств которых составляет до 670 кВт включительно;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год - для заявителей, максимальная мощность энергопринимающих устройств которых составляет свыше 670 кВт;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6</w:t>
            </w:r>
          </w:p>
        </w:tc>
      </w:tr>
      <w:tr>
        <w:trPr/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случае осуществления технологического присоединения юридически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а так же физических лиц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540"/>
              <w:jc w:val="both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30 рабочих дней со дня заключения договора - для заявителей, при одновременном соблюдении  условий, указанных в </w:t>
            </w:r>
            <w:hyperlink r:id="rId5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пункте 16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Правил,</w:t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/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 временном технологическом присоединении заявителей, энергопринимающие устройства которых являются передвижными и имеют максимальную мощность до 150 кВт включительно, если расстояние от энергопринимающего устройства заявителя до существующих электрических сетей составляет не более 300 метров;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 рабочих дней (если в заявке не указан более продолжительный срок)  со дня заключения договора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</w:r>
          </w:p>
        </w:tc>
      </w:tr>
      <w:tr>
        <w:trPr/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для заявителей, указанных в </w:t>
            </w:r>
            <w:hyperlink r:id="rId6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пунктах 12(1)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7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13(3)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8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13(5)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9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14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 </w:t>
            </w:r>
            <w:hyperlink r:id="rId10">
              <w:r>
                <w:rPr>
                  <w:rStyle w:val="Style8"/>
                  <w:rFonts w:eastAsia="Calibri" w:cs="Times New Roman" w:ascii="Times New Roman" w:hAnsi="Times New Roman"/>
                  <w:color w:val="0000FF"/>
                  <w:kern w:val="0"/>
                  <w:sz w:val="24"/>
                  <w:szCs w:val="24"/>
                  <w:lang w:val="ru-RU" w:eastAsia="en-US" w:bidi="ar-SA"/>
                </w:rPr>
                <w:t>34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настоящих Правил, если технологическое присоединение осуществляется к электрическим сетям, уровень напряжения которых составляет до 20 кВ включительно, и если расстояние от существующих электрических сетей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 месяцев со дня заключения договора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2104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для заявителей, максимальная мощность энергопринимающих устройств которых составляет менее 670 кВт, а также для заявителей, максимальная мощность энергопринимающих устройств которых составляет не менее 670 кВт,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год со дня заключения договора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2104" w:type="dxa"/>
            <w:vMerge w:val="restart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kern w:val="0"/>
                <w:lang w:val="ru-RU" w:bidi="ar-SA"/>
              </w:rPr>
              <w:t>Проверка выполнения технических условий и выдача актов</w:t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kern w:val="0"/>
                <w:lang w:val="ru-RU" w:bidi="ar-SA"/>
              </w:rPr>
              <w:t>Для  юридических лиц и индивидуальных предпринимателей, максимальная мощность которых составляет до 150 кВт включительно по II и III категории надежности, а также энергопринимающих устройств физических лиц до 15 кВт по III категории надежности (с учетом ранее присоединенных в данной точке присоединения ЭПУ)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0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Срок проведения мероприятий по проверке выполнения технических условий (с учетом выдачи заявителю подписанных со стороны сетевой организации и субъекта оперативно-диспетчерского управления акта о выполнении технических условий) не должен превышать 10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замечаний.</w:t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b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П.90</w:t>
            </w:r>
          </w:p>
        </w:tc>
      </w:tr>
      <w:tr>
        <w:trPr/>
        <w:tc>
          <w:tcPr>
            <w:tcW w:w="2104" w:type="dxa"/>
            <w:vMerge w:val="continue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</w:tc>
        <w:tc>
          <w:tcPr>
            <w:tcW w:w="3390" w:type="dxa"/>
            <w:tcBorders/>
          </w:tcPr>
          <w:p>
            <w:pPr>
              <w:pStyle w:val="NormalWeb"/>
              <w:widowControl/>
              <w:suppressAutoHyphens w:val="true"/>
              <w:spacing w:before="0" w:after="0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kern w:val="0"/>
                <w:lang w:val="ru-RU" w:bidi="ar-SA"/>
              </w:rPr>
              <w:t>Для  заявителей максимальной мощностью свыше 150 кВт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Срок проведения мероприятий по проверке сетевой организацией выполнения заявителем технических условий (с учетом направления заявителю подписанного сетевой организацией акта о выполнении технических условий)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Arial" w:ascii="Arial" w:hAnsi="Arial"/>
                <w:b/>
                <w:sz w:val="21"/>
                <w:szCs w:val="21"/>
              </w:rPr>
            </w:r>
          </w:p>
        </w:tc>
        <w:tc>
          <w:tcPr>
            <w:tcW w:w="15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450"/>
              <w:ind w:hanging="0" w:left="0"/>
              <w:jc w:val="left"/>
              <w:outlineLvl w:val="0"/>
              <w:rPr>
                <w:rFonts w:ascii="Arial" w:hAnsi="Arial" w:cs="Arial"/>
                <w:b/>
                <w:sz w:val="21"/>
                <w:szCs w:val="2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П.102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450"/>
        <w:ind w:hanging="0" w:left="0"/>
        <w:outlineLvl w:val="0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450"/>
        <w:ind w:hanging="0" w:left="0"/>
        <w:outlineLvl w:val="0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30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14b25"/>
    <w:pPr>
      <w:spacing w:lineRule="auto" w:line="240" w:before="0" w:after="450"/>
      <w:outlineLvl w:val="0"/>
    </w:pPr>
    <w:rPr>
      <w:rFonts w:ascii="Arial" w:hAnsi="Arial" w:eastAsia="Times New Roman" w:cs="Arial"/>
      <w:kern w:val="2"/>
      <w:sz w:val="42"/>
      <w:szCs w:val="4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a14b25"/>
    <w:rPr>
      <w:rFonts w:ascii="Arial" w:hAnsi="Arial" w:eastAsia="Times New Roman" w:cs="Arial"/>
      <w:kern w:val="2"/>
      <w:sz w:val="42"/>
      <w:szCs w:val="42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14b25"/>
    <w:rPr>
      <w:color w:val="182D88"/>
      <w:u w:val="single"/>
      <w:shd w:fill="auto" w:val="clear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a14b2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d6931"/>
    <w:rPr>
      <w:b/>
      <w:bCs/>
    </w:rPr>
  </w:style>
  <w:style w:type="character" w:styleId="Emphasis">
    <w:name w:val="Emphasis"/>
    <w:basedOn w:val="DefaultParagraphFont"/>
    <w:uiPriority w:val="20"/>
    <w:qFormat/>
    <w:rsid w:val="000d6931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a14b25"/>
    <w:pPr>
      <w:spacing w:lineRule="auto" w:line="240" w:before="225" w:after="22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a14b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8f67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5701be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5701be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List Accent 5"/>
    <w:basedOn w:val="a1"/>
    <w:uiPriority w:val="61"/>
    <w:rsid w:val="00e92dc0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5192&amp;dst=2585" TargetMode="External"/><Relationship Id="rId3" Type="http://schemas.openxmlformats.org/officeDocument/2006/relationships/hyperlink" Target="https://login.consultant.ru/link/?req=doc&amp;base=LAW&amp;n=495192&amp;dst=2598" TargetMode="External"/><Relationship Id="rId4" Type="http://schemas.openxmlformats.org/officeDocument/2006/relationships/hyperlink" Target="https://login.consultant.ru/link/?req=doc&amp;base=LAW&amp;n=495192&amp;dst=2605" TargetMode="External"/><Relationship Id="rId5" Type="http://schemas.openxmlformats.org/officeDocument/2006/relationships/hyperlink" Target="https://login.consultant.ru/link/?req=doc&amp;base=LAW&amp;n=495192&amp;dst=101304" TargetMode="External"/><Relationship Id="rId6" Type="http://schemas.openxmlformats.org/officeDocument/2006/relationships/hyperlink" Target="https://login.consultant.ru/link/?req=doc&amp;base=LAW&amp;n=495192&amp;dst=101304" TargetMode="External"/><Relationship Id="rId7" Type="http://schemas.openxmlformats.org/officeDocument/2006/relationships/hyperlink" Target="https://login.consultant.ru/link/?req=doc&amp;base=LAW&amp;n=495192&amp;dst=2585" TargetMode="External"/><Relationship Id="rId8" Type="http://schemas.openxmlformats.org/officeDocument/2006/relationships/hyperlink" Target="https://login.consultant.ru/link/?req=doc&amp;base=LAW&amp;n=495192&amp;dst=2598" TargetMode="External"/><Relationship Id="rId9" Type="http://schemas.openxmlformats.org/officeDocument/2006/relationships/hyperlink" Target="https://login.consultant.ru/link/?req=doc&amp;base=LAW&amp;n=495192&amp;dst=101080" TargetMode="External"/><Relationship Id="rId10" Type="http://schemas.openxmlformats.org/officeDocument/2006/relationships/hyperlink" Target="https://login.consultant.ru/link/?req=doc&amp;base=LAW&amp;n=495192&amp;dst=101308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LibreOffice/25.2.6.2$Linux_X86_64 LibreOffice_project/520$Build-2</Application>
  <AppVersion>15.0000</AppVersion>
  <Pages>8</Pages>
  <Words>1181</Words>
  <Characters>8222</Characters>
  <CharactersWithSpaces>9390</CharactersWithSpaces>
  <Paragraphs>61</Paragraphs>
  <Company>JSC Tyazhmash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2021-03-22T06:30:00Z</dcterms:created>
  <dc:creator>tanika</dc:creator>
  <dc:description/>
  <dc:language>ru-RU</dc:language>
  <cp:lastModifiedBy/>
  <cp:lastPrinted>2025-02-26T14:40:00Z</cp:lastPrinted>
  <dcterms:modified xsi:type="dcterms:W3CDTF">2026-02-16T11:15:47Z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