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0"/>
        <w:gridCol w:w="203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>Информация о выводе в ремонт и вводе из ремонта электросетевых объектов по ФКП «Завод имени Я.М.Свердлова» по состоянию за январь 2026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»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Т-1</w:t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20.01.2026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08:40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20.01.2026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11:20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2ч 40мин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1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1»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LibreOffice/25.8.3.2$Linux_X86_64 LibreOffice_project/580$Build-2</Application>
  <AppVersion>15.0000</AppVersion>
  <Pages>1</Pages>
  <Words>62</Words>
  <Characters>338</Characters>
  <CharactersWithSpaces>372</CharactersWithSpaces>
  <Paragraphs>28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2026-03-27T11:21:43Z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