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85" w:rsidRPr="00CF4E08" w:rsidRDefault="009C5285" w:rsidP="00CC0B1E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0" w:name="_Toc378081833"/>
      <w:bookmarkStart w:id="1" w:name="_Toc378082062"/>
      <w:bookmarkStart w:id="2" w:name="_Toc383528574"/>
      <w:bookmarkStart w:id="3" w:name="_Toc383528586"/>
      <w:bookmarkStart w:id="4" w:name="_Toc383528911"/>
      <w:bookmarkStart w:id="5" w:name="_Toc383528929"/>
      <w:bookmarkStart w:id="6" w:name="_Toc383529227"/>
      <w:bookmarkStart w:id="7" w:name="_Toc5444811"/>
      <w:r w:rsidRPr="00CF4E08">
        <w:rPr>
          <w:rFonts w:ascii="Times New Roman" w:hAnsi="Times New Roman"/>
          <w:color w:val="auto"/>
          <w:sz w:val="26"/>
          <w:szCs w:val="26"/>
        </w:rPr>
        <w:t>Паспорт услуги (процесса) «Допуск прибора учета в эксплуатацию»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9C5285" w:rsidRPr="00CF4E08" w:rsidRDefault="009C5285" w:rsidP="009C528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9C5285" w:rsidRPr="004244AE" w:rsidRDefault="009C5285" w:rsidP="009C5285">
      <w:pPr>
        <w:spacing w:before="120"/>
        <w:ind w:firstLine="567"/>
        <w:jc w:val="both"/>
        <w:rPr>
          <w:sz w:val="26"/>
          <w:szCs w:val="26"/>
        </w:rPr>
      </w:pPr>
      <w:r w:rsidRPr="004244AE">
        <w:rPr>
          <w:b/>
          <w:sz w:val="26"/>
          <w:szCs w:val="26"/>
        </w:rPr>
        <w:t xml:space="preserve">Круг заявителей (потребителей): </w:t>
      </w:r>
      <w:r w:rsidRPr="004244AE">
        <w:rPr>
          <w:sz w:val="26"/>
          <w:szCs w:val="26"/>
        </w:rPr>
        <w:t>юридические и физические лица, индивидуальные предприниматели.</w:t>
      </w:r>
    </w:p>
    <w:p w:rsidR="009C5285" w:rsidRPr="004244AE" w:rsidRDefault="009C5285" w:rsidP="009C5285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44AE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4244AE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9C5285" w:rsidRPr="004244AE" w:rsidRDefault="009C5285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4244AE">
        <w:rPr>
          <w:b/>
          <w:sz w:val="26"/>
          <w:szCs w:val="26"/>
        </w:rPr>
        <w:t>Условия оказания услуги (процесса):</w:t>
      </w:r>
      <w:r w:rsidRPr="004244AE">
        <w:rPr>
          <w:sz w:val="26"/>
          <w:szCs w:val="26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Pr="004244AE">
        <w:rPr>
          <w:sz w:val="26"/>
          <w:szCs w:val="26"/>
        </w:rPr>
        <w:t>энергопринимающих</w:t>
      </w:r>
      <w:proofErr w:type="spellEnd"/>
      <w:r w:rsidRPr="004244AE">
        <w:rPr>
          <w:sz w:val="26"/>
          <w:szCs w:val="26"/>
        </w:rPr>
        <w:t xml:space="preserve"> устройств заявителя, в отношении которых установлен прибор учета. Намерение заявителя ввести прибор учета электрической энергии (мощности) в эксплуатацию.</w:t>
      </w:r>
    </w:p>
    <w:p w:rsidR="009C5285" w:rsidRPr="004244AE" w:rsidRDefault="009C5285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4244AE">
        <w:rPr>
          <w:b/>
          <w:sz w:val="26"/>
          <w:szCs w:val="26"/>
        </w:rPr>
        <w:t xml:space="preserve">Результат оказания услуги (процесса): </w:t>
      </w:r>
      <w:r w:rsidRPr="004244AE">
        <w:rPr>
          <w:sz w:val="26"/>
          <w:szCs w:val="26"/>
        </w:rPr>
        <w:t>допуск в эксплуатацию приборов учета электрической энергии (мощности).</w:t>
      </w:r>
    </w:p>
    <w:p w:rsidR="009C5285" w:rsidRPr="004244AE" w:rsidRDefault="009C5285" w:rsidP="009C5285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4244AE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869"/>
        <w:gridCol w:w="2653"/>
        <w:gridCol w:w="2796"/>
        <w:gridCol w:w="2308"/>
        <w:gridCol w:w="2488"/>
        <w:gridCol w:w="2020"/>
      </w:tblGrid>
      <w:tr w:rsidR="009C5285" w:rsidRPr="004244AE" w:rsidTr="00451CA2">
        <w:trPr>
          <w:tblHeader/>
        </w:trPr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9C5285" w:rsidRPr="004244AE" w:rsidTr="00451CA2"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9C5285" w:rsidRPr="00D6788B" w:rsidRDefault="009C5285" w:rsidP="00451CA2">
            <w:pPr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Технологическое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энергопринимающих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9C5285" w:rsidRPr="00D6788B" w:rsidRDefault="009C5285" w:rsidP="00451CA2">
            <w:pPr>
              <w:jc w:val="both"/>
            </w:pPr>
          </w:p>
        </w:tc>
        <w:tc>
          <w:tcPr>
            <w:tcW w:w="789" w:type="pct"/>
            <w:shd w:val="clear" w:color="auto" w:fill="auto"/>
          </w:tcPr>
          <w:p w:rsidR="009C5285" w:rsidRPr="00D6788B" w:rsidRDefault="00CC0B1E" w:rsidP="00451CA2">
            <w:pPr>
              <w:jc w:val="both"/>
            </w:pPr>
            <w:r w:rsidRPr="00D6788B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уведомлением,  или иным способом, позволяющим подтвердить факт получения</w:t>
            </w: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Пункт 153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9C5285" w:rsidRPr="004244AE" w:rsidTr="00451CA2">
        <w:trPr>
          <w:trHeight w:val="400"/>
        </w:trPr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даты и времени проведения процедуры допуска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Наличие в заявке необходимых сведений:</w:t>
            </w:r>
          </w:p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- место нахождения ЭПУ;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- номер договора энергоснабжения, </w:t>
            </w:r>
            <w:r w:rsidRPr="00D6788B">
              <w:rPr>
                <w:sz w:val="22"/>
                <w:szCs w:val="22"/>
              </w:rPr>
              <w:lastRenderedPageBreak/>
              <w:t>договора оказания услуг по передаче электрической энергии (если такой договор заключен);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- 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 и измерительных трансформаторов (при их наличии)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2.1. Рассмотрение предложенных заявителем даты и времени проведения процедуры допуска;</w:t>
            </w: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2.2. При отсутствии возможности проведения </w:t>
            </w:r>
            <w:r w:rsidRPr="00D6788B">
              <w:rPr>
                <w:sz w:val="22"/>
                <w:szCs w:val="22"/>
              </w:rPr>
              <w:lastRenderedPageBreak/>
              <w:t>процедуры допуска в предложенный заявителем срок направление предложения о новой дате и времени.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2.3. Уведомление гарантирующего поставщика, собственника прибора учета, собственника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энергопринимающих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устройств, в отношении которых устанавливается прибор учета, если он отличается от собственника прибора учета 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789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Письменное предложение новой </w:t>
            </w:r>
            <w:r w:rsidRPr="00D6788B">
              <w:rPr>
                <w:sz w:val="22"/>
                <w:szCs w:val="22"/>
              </w:rPr>
              <w:lastRenderedPageBreak/>
              <w:t>даты и времени</w:t>
            </w: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</w:p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>В течение 15 рабочих дней со дня получения запроса от заявителя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Не позднее чем через 7 рабочих дней со дня получения его заявки, предложенная новая </w:t>
            </w:r>
            <w:r w:rsidRPr="00D6788B">
              <w:rPr>
                <w:sz w:val="22"/>
                <w:szCs w:val="22"/>
              </w:rPr>
              <w:lastRenderedPageBreak/>
              <w:t>дата не может быть позднее чем через 15 рабочих дней со дня получения заявки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Пункт 153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9C5285" w:rsidRPr="004244AE" w:rsidTr="00451CA2">
        <w:trPr>
          <w:trHeight w:val="1693"/>
        </w:trPr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3.1. Допуск к электроустановке.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3.2. Проверка 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</w:t>
            </w:r>
            <w:r w:rsidRPr="00D6788B">
              <w:rPr>
                <w:sz w:val="22"/>
                <w:szCs w:val="22"/>
              </w:rPr>
              <w:lastRenderedPageBreak/>
              <w:t xml:space="preserve">повреждений на корпусе прибора учета и пломб </w:t>
            </w:r>
            <w:proofErr w:type="spellStart"/>
            <w:r w:rsidRPr="00D6788B">
              <w:rPr>
                <w:sz w:val="22"/>
                <w:szCs w:val="22"/>
              </w:rPr>
              <w:t>поверителя</w:t>
            </w:r>
            <w:proofErr w:type="spellEnd"/>
            <w:r w:rsidRPr="00D6788B">
              <w:rPr>
                <w:sz w:val="22"/>
                <w:szCs w:val="22"/>
              </w:rPr>
              <w:t>) и измерительных трансформаторов (при их наличии), а также соответствие вводимого в эксплуатацию прибора учета метрологическим  характеристикам.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3.3. Установка контрольной одноразовой номерной пломбы и (или) знаков визуального контроля</w:t>
            </w:r>
          </w:p>
        </w:tc>
        <w:tc>
          <w:tcPr>
            <w:tcW w:w="789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 xml:space="preserve">В согласованный срок 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r w:rsidRPr="00D6788B">
              <w:rPr>
                <w:sz w:val="22"/>
                <w:szCs w:val="22"/>
              </w:rPr>
              <w:t xml:space="preserve">Пункт 154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9C5285" w:rsidRPr="004244AE" w:rsidTr="00451CA2">
        <w:trPr>
          <w:trHeight w:val="75"/>
        </w:trPr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Составление акта допуска прибора учета в эксплуатацию</w:t>
            </w: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Соблюдение требований, установленных законодательством Российской Федерации требований (отсутствие замечаний по результатам проверки п.3)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4.1. Составление акта допуска прибора учета в эксплуатацию.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4.2. Направление копий акта лицам, не явившимся для участия в процедуре допуска прибора учета в эксплуатацию </w:t>
            </w:r>
          </w:p>
        </w:tc>
        <w:tc>
          <w:tcPr>
            <w:tcW w:w="789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r w:rsidRPr="00D6788B">
              <w:rPr>
                <w:sz w:val="22"/>
                <w:szCs w:val="22"/>
              </w:rPr>
              <w:t xml:space="preserve">Пункт 154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9C5285" w:rsidRPr="004244AE" w:rsidTr="00451CA2">
        <w:trPr>
          <w:trHeight w:val="75"/>
        </w:trPr>
        <w:tc>
          <w:tcPr>
            <w:tcW w:w="166" w:type="pct"/>
            <w:shd w:val="clear" w:color="auto" w:fill="auto"/>
          </w:tcPr>
          <w:p w:rsidR="009C5285" w:rsidRPr="00D6788B" w:rsidRDefault="009C5285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9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Составление акта с отказом  в допуске прибора учета в эксплуатацию с указанием причин отказа.</w:t>
            </w:r>
          </w:p>
        </w:tc>
        <w:tc>
          <w:tcPr>
            <w:tcW w:w="907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При установлении несоответствия требованиям, установленным законодательством Российской Федерации требований (при наличии </w:t>
            </w:r>
            <w:r w:rsidRPr="00D6788B">
              <w:rPr>
                <w:sz w:val="22"/>
                <w:szCs w:val="22"/>
              </w:rPr>
              <w:lastRenderedPageBreak/>
              <w:t>замечаний по результатам проверки п.3)</w:t>
            </w:r>
          </w:p>
        </w:tc>
        <w:tc>
          <w:tcPr>
            <w:tcW w:w="956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5.1. Составление акта с отказом  в допуске прибора учета в эксплуатацию с указанием необходимых мероприятий (перечня работ), выполнение которых </w:t>
            </w:r>
            <w:r w:rsidRPr="00D6788B">
              <w:rPr>
                <w:sz w:val="22"/>
                <w:szCs w:val="22"/>
              </w:rPr>
              <w:lastRenderedPageBreak/>
              <w:t>является обязательным условием для допуска прибора учета в эксплуатацию</w:t>
            </w:r>
          </w:p>
          <w:p w:rsidR="009C5285" w:rsidRPr="00D6788B" w:rsidRDefault="009C5285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5.2. Направление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9" w:type="pct"/>
            <w:shd w:val="clear" w:color="auto" w:fill="auto"/>
          </w:tcPr>
          <w:p w:rsidR="009C5285" w:rsidRPr="00D6788B" w:rsidRDefault="009C5285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9C5285" w:rsidRPr="00D6788B" w:rsidRDefault="009C5285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9C5285" w:rsidRPr="00D6788B" w:rsidRDefault="009C5285" w:rsidP="00451CA2">
            <w:r w:rsidRPr="00D6788B">
              <w:rPr>
                <w:sz w:val="22"/>
                <w:szCs w:val="22"/>
              </w:rPr>
              <w:t xml:space="preserve">Пункт 154 </w:t>
            </w:r>
            <w:r>
              <w:rPr>
                <w:sz w:val="22"/>
                <w:szCs w:val="22"/>
              </w:rPr>
              <w:t xml:space="preserve">Основных положений функционирования розничных рынков электрической </w:t>
            </w:r>
            <w:r>
              <w:rPr>
                <w:sz w:val="22"/>
                <w:szCs w:val="22"/>
              </w:rPr>
              <w:lastRenderedPageBreak/>
              <w:t>энергии</w:t>
            </w:r>
          </w:p>
        </w:tc>
      </w:tr>
    </w:tbl>
    <w:p w:rsidR="009D1549" w:rsidRDefault="009D1549" w:rsidP="000011E8">
      <w:pPr>
        <w:autoSpaceDE w:val="0"/>
        <w:autoSpaceDN w:val="0"/>
        <w:adjustRightInd w:val="0"/>
        <w:ind w:firstLine="567"/>
        <w:jc w:val="both"/>
      </w:pPr>
      <w:bookmarkStart w:id="8" w:name="_GoBack"/>
      <w:bookmarkEnd w:id="8"/>
    </w:p>
    <w:p w:rsidR="00CC0B1E" w:rsidRDefault="00CC0B1E" w:rsidP="000011E8">
      <w:pPr>
        <w:autoSpaceDE w:val="0"/>
        <w:autoSpaceDN w:val="0"/>
        <w:adjustRightInd w:val="0"/>
        <w:ind w:firstLine="567"/>
        <w:jc w:val="both"/>
      </w:pPr>
    </w:p>
    <w:p w:rsidR="00CC0B1E" w:rsidRPr="00CF4E08" w:rsidRDefault="00CC0B1E" w:rsidP="00CC0B1E">
      <w:pPr>
        <w:autoSpaceDE w:val="0"/>
        <w:autoSpaceDN w:val="0"/>
        <w:adjustRightInd w:val="0"/>
        <w:spacing w:before="120"/>
        <w:ind w:firstLine="539"/>
        <w:jc w:val="both"/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CC0B1E" w:rsidRPr="00CF4E08" w:rsidRDefault="00CC0B1E" w:rsidP="00CC0B1E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 xml:space="preserve">заявление подается в письменном виде на бумажном носителе в </w:t>
      </w:r>
      <w:r>
        <w:rPr>
          <w:sz w:val="26"/>
          <w:szCs w:val="26"/>
        </w:rPr>
        <w:t>офис</w:t>
      </w:r>
      <w:r w:rsidRPr="00CF4E08">
        <w:rPr>
          <w:sz w:val="26"/>
          <w:szCs w:val="26"/>
        </w:rPr>
        <w:t xml:space="preserve"> обслуживания потребителей, по почте.</w:t>
      </w:r>
    </w:p>
    <w:p w:rsidR="00CC0B1E" w:rsidRDefault="00CC0B1E" w:rsidP="00CC0B1E"/>
    <w:p w:rsidR="00CC0B1E" w:rsidRPr="005B7D9D" w:rsidRDefault="00CC0B1E" w:rsidP="00CC0B1E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CC0B1E" w:rsidRDefault="00CC0B1E" w:rsidP="00CC0B1E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>Контактный номер: 8(8313)39-61-61</w:t>
      </w:r>
    </w:p>
    <w:p w:rsidR="00CC0B1E" w:rsidRDefault="00CC0B1E" w:rsidP="00CC0B1E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 xml:space="preserve">Адрес электронной почты :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CC0B1E" w:rsidRDefault="00CC0B1E" w:rsidP="00CC0B1E">
      <w:pPr>
        <w:pStyle w:val="a3"/>
        <w:numPr>
          <w:ilvl w:val="0"/>
          <w:numId w:val="3"/>
        </w:numPr>
        <w:autoSpaceDE w:val="0"/>
        <w:autoSpaceDN w:val="0"/>
        <w:jc w:val="both"/>
        <w:rPr>
          <w:rStyle w:val="a5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5"/>
        </w:rPr>
        <w:t>пр-т</w:t>
      </w:r>
      <w:proofErr w:type="spellEnd"/>
      <w:r>
        <w:rPr>
          <w:rStyle w:val="a5"/>
        </w:rPr>
        <w:t>. Свердлова 2в каб.6</w:t>
      </w:r>
    </w:p>
    <w:p w:rsidR="00CC0B1E" w:rsidRDefault="00CC0B1E" w:rsidP="00CC0B1E">
      <w:pPr>
        <w:pStyle w:val="ConsPlusNormal"/>
        <w:ind w:firstLine="540"/>
        <w:jc w:val="both"/>
        <w:rPr>
          <w:sz w:val="24"/>
          <w:szCs w:val="24"/>
        </w:rPr>
      </w:pPr>
    </w:p>
    <w:p w:rsidR="00CC0B1E" w:rsidRDefault="00CC0B1E" w:rsidP="00CC0B1E"/>
    <w:p w:rsidR="00CC0B1E" w:rsidRDefault="00CC0B1E" w:rsidP="000011E8">
      <w:pPr>
        <w:autoSpaceDE w:val="0"/>
        <w:autoSpaceDN w:val="0"/>
        <w:adjustRightInd w:val="0"/>
        <w:ind w:firstLine="567"/>
        <w:jc w:val="both"/>
      </w:pPr>
    </w:p>
    <w:sectPr w:rsidR="00CC0B1E" w:rsidSect="009C52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EE" w:rsidRDefault="003C3DEE" w:rsidP="009C5285">
      <w:r>
        <w:separator/>
      </w:r>
    </w:p>
  </w:endnote>
  <w:endnote w:type="continuationSeparator" w:id="0">
    <w:p w:rsidR="003C3DEE" w:rsidRDefault="003C3DEE" w:rsidP="009C5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EE" w:rsidRDefault="003C3DEE" w:rsidP="009C5285">
      <w:r>
        <w:separator/>
      </w:r>
    </w:p>
  </w:footnote>
  <w:footnote w:type="continuationSeparator" w:id="0">
    <w:p w:rsidR="003C3DEE" w:rsidRDefault="003C3DEE" w:rsidP="009C5285">
      <w:r>
        <w:continuationSeparator/>
      </w:r>
    </w:p>
  </w:footnote>
  <w:footnote w:id="1">
    <w:p w:rsidR="009C5285" w:rsidRDefault="009C5285" w:rsidP="009C5285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C8718B">
        <w:t>Основ</w:t>
      </w:r>
      <w:r>
        <w:t>ы</w:t>
      </w:r>
      <w:r w:rsidRPr="00C8718B">
        <w:t xml:space="preserve"> функционирования розничных рынков электрической энергии</w:t>
      </w:r>
      <w:r>
        <w:t xml:space="preserve">, </w:t>
      </w:r>
      <w:r w:rsidRPr="00DC7CA8">
        <w:t xml:space="preserve">утвержденные </w:t>
      </w:r>
      <w:r>
        <w:t>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C04404"/>
    <w:multiLevelType w:val="hybridMultilevel"/>
    <w:tmpl w:val="7CEE1218"/>
    <w:lvl w:ilvl="0" w:tplc="A8BA74A6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EAF"/>
    <w:rsid w:val="000011E8"/>
    <w:rsid w:val="00024EAF"/>
    <w:rsid w:val="000C48D0"/>
    <w:rsid w:val="003C3DEE"/>
    <w:rsid w:val="009C5285"/>
    <w:rsid w:val="009D1549"/>
    <w:rsid w:val="00A6736C"/>
    <w:rsid w:val="00AB54EE"/>
    <w:rsid w:val="00B63DD3"/>
    <w:rsid w:val="00CC0B1E"/>
    <w:rsid w:val="00ED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2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28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C5285"/>
    <w:pPr>
      <w:ind w:left="720"/>
      <w:contextualSpacing/>
    </w:pPr>
    <w:rPr>
      <w:lang/>
    </w:rPr>
  </w:style>
  <w:style w:type="character" w:customStyle="1" w:styleId="a4">
    <w:name w:val="Абзац списка Знак"/>
    <w:link w:val="a3"/>
    <w:uiPriority w:val="34"/>
    <w:locked/>
    <w:rsid w:val="009C5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C5285"/>
    <w:rPr>
      <w:color w:val="0000FF"/>
      <w:u w:val="single"/>
    </w:rPr>
  </w:style>
  <w:style w:type="paragraph" w:customStyle="1" w:styleId="ConsPlusNonformat">
    <w:name w:val="ConsPlusNonformat"/>
    <w:uiPriority w:val="99"/>
    <w:rsid w:val="009C52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9C5285"/>
    <w:rPr>
      <w:vertAlign w:val="superscript"/>
    </w:rPr>
  </w:style>
  <w:style w:type="paragraph" w:customStyle="1" w:styleId="ConsPlusNormal">
    <w:name w:val="ConsPlusNormal"/>
    <w:rsid w:val="00CC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5</cp:revision>
  <dcterms:created xsi:type="dcterms:W3CDTF">2022-03-31T17:16:00Z</dcterms:created>
  <dcterms:modified xsi:type="dcterms:W3CDTF">2025-02-26T11:30:00Z</dcterms:modified>
</cp:coreProperties>
</file>